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 “Those who receive you are also receiving me, and those who receive me are receiving the one who sent me. </w:t>
      </w:r>
      <w:r w:rsidDel="00000000" w:rsidR="00000000" w:rsidRPr="00000000">
        <w:rPr>
          <w:rFonts w:ascii="Calibri" w:cs="Calibri" w:eastAsia="Calibri" w:hAnsi="Calibri"/>
          <w:i w:val="1"/>
          <w:iCs w:val="1"/>
          <w:vertAlign w:val="superscript"/>
          <w:rtl w:val="0"/>
        </w:rPr>
        <w:t xml:space="preserve"> </w:t>
      </w:r>
      <w:r w:rsidDel="00000000" w:rsidR="00000000" w:rsidRPr="00000000">
        <w:rPr>
          <w:rFonts w:ascii="Calibri" w:cs="Calibri" w:eastAsia="Calibri" w:hAnsi="Calibri"/>
          <w:i w:val="1"/>
          <w:iCs w:val="1"/>
          <w:rtl w:val="0"/>
        </w:rPr>
        <w:t xml:space="preserve">Those who receive a prophet as a prophet will receive a prophet’s reward. Those who receive a righteous person as a righteous person will receive a righteous person’s reward. </w:t>
      </w:r>
      <w:r w:rsidDel="00000000" w:rsidR="00000000" w:rsidRPr="00000000">
        <w:rPr>
          <w:rFonts w:ascii="Calibri" w:cs="Calibri" w:eastAsia="Calibri" w:hAnsi="Calibri"/>
          <w:i w:val="1"/>
          <w:iCs w:val="1"/>
          <w:vertAlign w:val="superscript"/>
          <w:rtl w:val="0"/>
        </w:rPr>
        <w:t xml:space="preserve"> </w:t>
      </w:r>
      <w:r w:rsidDel="00000000" w:rsidR="00000000" w:rsidRPr="00000000">
        <w:rPr>
          <w:rFonts w:ascii="Calibri" w:cs="Calibri" w:eastAsia="Calibri" w:hAnsi="Calibri"/>
          <w:i w:val="1"/>
          <w:iCs w:val="1"/>
          <w:rtl w:val="0"/>
        </w:rPr>
        <w:t xml:space="preserve">I assure you that everybody who gives even a cup of cold water to these little ones because they are my disciples will certainly be rewarded.” </w:t>
      </w:r>
      <w:r w:rsidDel="00000000" w:rsidR="00000000" w:rsidRPr="00000000">
        <w:rPr>
          <w:rFonts w:ascii="Calibri" w:cs="Calibri" w:eastAsia="Calibri" w:hAnsi="Calibri"/>
          <w:rtl w:val="0"/>
        </w:rPr>
        <w:t xml:space="preserve">(Matthew 10: 40-42)</w:t>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0</wp:posOffset>
            </wp:positionV>
            <wp:extent cx="1647825" cy="24714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47825" cy="247142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-67309</wp:posOffset>
                </wp:positionH>
                <wp:positionV relativeFrom="paragraph">
                  <wp:posOffset>2524125</wp:posOffset>
                </wp:positionV>
                <wp:extent cx="1800225" cy="523875"/>
                <wp:effectExtent b="9525" l="0" r="9525" t="0"/>
                <wp:wrapSquare wrapText="bothSides" distB="0" distT="0" distL="114300" distR="114300"/>
                <wp:docPr id="1" name=""/>
                <a:graphic>
                  <a:graphicData uri="http://schemas.microsoft.com/office/word/2010/wordprocessingShape">
                    <wps:wsp>
                      <wps:cNvSpPr txBox="1"/>
                      <wps:spPr>
                        <a:xfrm>
                          <a:off x="0" y="0"/>
                          <a:ext cx="1800225" cy="523875"/>
                        </a:xfrm>
                        <a:prstGeom prst="rect">
                          <a:avLst/>
                        </a:prstGeom>
                        <a:solidFill>
                          <a:prstClr val="white"/>
                        </a:solidFill>
                        <a:ln>
                          <a:noFill/>
                        </a:ln>
                      </wps:spPr>
                      <wps:txbx>
                        <w:txbxContent>
                          <w:p w:rsidR="0019367F" w:rsidDel="00000000" w:rsidP="0019367F" w:rsidRDefault="0019367F" w:rsidRPr="0019367F" w14:paraId="5D146338" w14:textId="77777777">
                            <w:pPr>
                              <w:pStyle w:val="Caption"/>
                            </w:pPr>
                            <w:r w:rsidDel="00000000" w:rsidR="00000000" w:rsidRPr="001E6F8E">
                              <w:t xml:space="preserve">Photo </w:t>
                            </w:r>
                            <w:r w:rsidDel="00000000" w:rsidR="00000000" w:rsidRPr="00000000">
                              <w:t xml:space="preserve">by </w:t>
                            </w:r>
                            <w:r w:rsidDel="00000000" w:rsidR="00000000" w:rsidRPr="0019367F">
                              <w:t xml:space="preserve">Photo by </w:t>
                            </w:r>
                            <w:hyperlink w:history="1" r:id="rId1">
                              <w:r w:rsidDel="00000000" w:rsidR="00000000" w:rsidRPr="0019367F">
                                <w:rPr>
                                  <w:rStyle w:val="Hyperlink"/>
                                </w:rPr>
                                <w:t>LOGAN WEAVER | @LGNWVR</w:t>
                              </w:r>
                            </w:hyperlink>
                            <w:r w:rsidDel="00000000" w:rsidR="00000000" w:rsidRPr="0019367F">
                              <w:t xml:space="preserve"> on </w:t>
                            </w:r>
                            <w:hyperlink w:history="1" r:id="rId2">
                              <w:proofErr w:type="spellStart"/>
                              <w:r w:rsidDel="00000000" w:rsidR="00000000" w:rsidRPr="0019367F">
                                <w:rPr>
                                  <w:rStyle w:val="Hyperlink"/>
                                </w:rPr>
                                <w:t>Unsplash</w:t>
                              </w:r>
                              <w:proofErr w:type="spellEnd"/>
                            </w:hyperlink>
                            <w:r w:rsidDel="00000000" w:rsidR="00000000" w:rsidRPr="0019367F">
                              <w:t xml:space="preserve"> </w:t>
                            </w:r>
                          </w:p>
                          <w:p w:rsidR="0019367F" w:rsidDel="00000000" w:rsidP="0019367F" w:rsidRDefault="0019367F" w:rsidRPr="009463B2" w14:paraId="02A730D3" w14:textId="722F3BA0">
                            <w:pPr>
                              <w:pStyle w:val="Caption"/>
                              <w:rPr>
                                <w:rFonts w:ascii="Calibri" w:cs="Calibri" w:hAnsi="Calibri"/>
                                <w:noProof w:val="1"/>
                                <w:sz w:val="26"/>
                                <w:szCs w:val="26"/>
                              </w:rPr>
                            </w:pPr>
                          </w:p>
                        </w:txbxContent>
                      </wps:txbx>
                      <wps:bodyPr anchorCtr="0" anchor="t" bIns="0" rtlCol="0" compatLnSpc="1" forceAA="0" fromWordArt="0" horzOverflow="overflow" lIns="0" numCol="1" spcFirstLastPara="0" rIns="0" rot="0" spcCol="0" vert="horz" wrap="square" tIns="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-67309</wp:posOffset>
                </wp:positionH>
                <wp:positionV relativeFrom="paragraph">
                  <wp:posOffset>2524125</wp:posOffset>
                </wp:positionV>
                <wp:extent cx="1809750" cy="53340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09750" cy="533400"/>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Recent World Health Organization statistics document that more than 2 billion people around the world don’t have access to safely managed drinking water.  That works out to be about 25% of the world’s population. (World Health Organization, 2025). This isn’t just a developing nation problem. Cari Shane documents that more than 45 million people in the United States live with water insecurity – either no running water or water that is potentially unsafe. (Shane, 2023). Offering a cup of water to someone who is dehydrated or lacks access to safe drinking water isn’t just an act of righteousness, it is frequently a lifesaving act.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Jesus’ brief words here in Matthew – Chapter 10 reverberate with at least two definitive themes in this Gospel. Those themes are prophecy and righteousness. New Testament scholars such as Bart Ehrman note that there are about a dozen instances in Matthew that offer “fulfillment citations.”   In basic terms Matthew’s author(s) link(s) prophetic statements from ancient Abrahamic prophets (Isaiah, Joel, Micah) with specific events in Jesus’ life.  For example, the prophet Micah predicts that the Messiah’s (Jesus’) birth will occur in Bethlehem.  I should clearly mention that Micah doesn’t specifically state that Jesus of Nazareth was the Messiah.  The synoptic Gospels assert that “truth.”  Matthew analogizes Jesus with Moses.  The daughter of the Pharaoh rescues Moses. Jesus’ parents flee to Egypt to escape Herod’s wrath.  Moses offers the Law to the Israelites following a mountaintop holy meeting w/ Yahweh. Jesus offers The Beatitudes and his Sermon on the Mount from a mountainous place. Jesus’ incarnation on Earth as God’s Son and the Messiah is all part of God’s Divine Messianic plan.  Connections between ancient Judaic prophetic declarations with Jesus’ life and teachings offer a theological/religious basis, if not a historically provable one, for proving that Jesus is “The Christ.”</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Righteousness is, perhaps, more important than the prophetic theme. Matthew’s Jesus uses the term “</w:t>
      </w:r>
      <w:r w:rsidDel="00000000" w:rsidR="00000000" w:rsidRPr="00000000">
        <w:rPr>
          <w:rFonts w:ascii="Calibri" w:cs="Calibri" w:eastAsia="Calibri" w:hAnsi="Calibri"/>
          <w:i w:val="1"/>
          <w:iCs w:val="1"/>
          <w:rtl w:val="0"/>
        </w:rPr>
        <w:t xml:space="preserve">dikaiosyne </w:t>
      </w:r>
      <w:r w:rsidDel="00000000" w:rsidR="00000000" w:rsidRPr="00000000">
        <w:rPr>
          <w:rFonts w:ascii="Calibri" w:cs="Calibri" w:eastAsia="Calibri" w:hAnsi="Calibri"/>
          <w:rtl w:val="0"/>
        </w:rPr>
        <w:t xml:space="preserve">(</w:t>
      </w:r>
      <w:hyperlink r:id="rId10">
        <w:r w:rsidDel="00000000" w:rsidR="00000000" w:rsidRPr="00000000">
          <w:rPr>
            <w:rFonts w:ascii="Calibri" w:cs="Calibri" w:eastAsia="Calibri" w:hAnsi="Calibri"/>
            <w:color w:val="467886"/>
            <w:u w:val="single"/>
            <w:rtl w:val="0"/>
          </w:rPr>
          <w:t xml:space="preserve">δίκαιος (G1342)</w:t>
        </w:r>
      </w:hyperlink>
      <w:r w:rsidDel="00000000" w:rsidR="00000000" w:rsidRPr="00000000">
        <w:rPr>
          <w:rFonts w:ascii="Calibri" w:cs="Calibri" w:eastAsia="Calibri" w:hAnsi="Calibri"/>
          <w:rtl w:val="0"/>
        </w:rPr>
        <w:t xml:space="preserve"> seven times.  Five of those instances occur in Jesus’ Sermon on The Mount.  Perhaps the most important instance is in Matthew 6:33:</w:t>
      </w:r>
    </w:p>
    <w:p w:rsidR="00000000" w:rsidDel="00000000" w:rsidP="00000000" w:rsidRDefault="00000000" w:rsidRPr="00000000" w14:paraId="0000000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“Instead, desire first and foremost God’s kingdom and God’s righteousness, and all these things will be given to you as well.”</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Kendall Healy suggests that there is a principled way that we can think of </w:t>
      </w:r>
      <w:r w:rsidDel="00000000" w:rsidR="00000000" w:rsidRPr="00000000">
        <w:rPr>
          <w:rFonts w:ascii="Calibri" w:cs="Calibri" w:eastAsia="Calibri" w:hAnsi="Calibri"/>
          <w:i w:val="1"/>
          <w:iCs w:val="1"/>
          <w:rtl w:val="0"/>
        </w:rPr>
        <w:t xml:space="preserve">dikaiosunē </w:t>
      </w:r>
      <w:r w:rsidDel="00000000" w:rsidR="00000000" w:rsidRPr="00000000">
        <w:rPr>
          <w:rFonts w:ascii="Calibri" w:cs="Calibri" w:eastAsia="Calibri" w:hAnsi="Calibri"/>
          <w:rtl w:val="0"/>
        </w:rPr>
        <w:t xml:space="preserve">(righteousness). In general terms, living righteously is to be alive in a state of being that is acceptable to God. Righteousness is “correlated with characteristics such as “integrity, virtue, purity of life, uprightness, correctness in thinking, feeling, and acting.” (Healy, 2018).  Righteousness is, simply put, abiding with Jesus’ two great, if not next to impossible, commandments. Those are to Love God, and Love our Neighbors, as much (if not more?) than ourselves. Anglican theology suggests, quite wisely, that such righteousness is indeed impossible without God’s Grace and Forgiveness. Righteousness equates with discipleship.  Christian discipleship defines the manner in which we take in, and live out our faith and hope.</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Back to my original theme.  Offering someone a cup of water, literally or metaphorically, can be monumental. The United Nations, in 2024, developed a “System-wide Strategy for Water and Sanitation. (SWS)” The SWS’ goal is to:</w:t>
      </w:r>
    </w:p>
    <w:p w:rsidR="00000000" w:rsidDel="00000000" w:rsidP="00000000" w:rsidRDefault="00000000" w:rsidRPr="00000000" w14:paraId="00000008">
      <w:pPr>
        <w:ind w:left="720" w:right="720" w:firstLine="0"/>
        <w:rPr>
          <w:rFonts w:ascii="Calibri" w:cs="Calibri" w:eastAsia="Calibri" w:hAnsi="Calibri"/>
        </w:rPr>
      </w:pPr>
      <w:r w:rsidDel="00000000" w:rsidR="00000000" w:rsidRPr="00000000">
        <w:rPr>
          <w:rFonts w:ascii="Calibri" w:cs="Calibri" w:eastAsia="Calibri" w:hAnsi="Calibri"/>
          <w:rtl w:val="0"/>
        </w:rPr>
        <w:t xml:space="preserve">“enhance United Nations system-wide coordination and delivery of water and sanitation priorities in support of countries to accelerate progress on national plans and priorities, internationally agreed water-related goals and targets, realization of human rights, and transformative solutions to current and future water and sanitation challenges for the benefit of all people and the planet.” (United Nations, 2025)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This goal is indeed monumental. It requires significant collaboration, billions of dollars in resources, and God knows what else.  Yet, the global need for such a massive initiative is…existential.  You can check out how to help with your cups of water the UN’s “</w:t>
      </w:r>
      <w:hyperlink r:id="rId11">
        <w:r w:rsidDel="00000000" w:rsidR="00000000" w:rsidRPr="00000000">
          <w:rPr>
            <w:rFonts w:ascii="Calibri" w:cs="Calibri" w:eastAsia="Calibri" w:hAnsi="Calibri"/>
            <w:color w:val="467886"/>
            <w:u w:val="single"/>
            <w:rtl w:val="0"/>
          </w:rPr>
          <w:t xml:space="preserve">Get Involved.</w:t>
        </w:r>
      </w:hyperlink>
      <w:r w:rsidDel="00000000" w:rsidR="00000000" w:rsidRPr="00000000">
        <w:rPr>
          <w:rFonts w:ascii="Calibri" w:cs="Calibri" w:eastAsia="Calibri" w:hAnsi="Calibri"/>
          <w:rtl w:val="0"/>
        </w:rPr>
        <w:t xml:space="preserve">” Website.</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Conversely, there are simple day-to-day ways to act upon our righteous relationships. Here’s a very simplistic example.  I was going through the drive-thru for coffee and a doughnut the other day.  I was reaching for my wallet when the cashier said that the driver in front of me had paid for my order.  I don’t know how she or he figured out how much my bill would be.  ‘Does it matter? </w:t>
      </w:r>
      <w:r w:rsidDel="00000000" w:rsidR="00000000" w:rsidRPr="00000000">
        <w:drawing>
          <wp:anchor allowOverlap="1" behindDoc="0" distB="0" distT="0" distL="114300" distR="114300" hidden="0" layoutInCell="1" locked="0" relativeHeight="0" simplePos="0">
            <wp:simplePos x="0" y="0"/>
            <wp:positionH relativeFrom="column">
              <wp:posOffset>66676</wp:posOffset>
            </wp:positionH>
            <wp:positionV relativeFrom="paragraph">
              <wp:posOffset>135890</wp:posOffset>
            </wp:positionV>
            <wp:extent cx="3640455" cy="250507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640455" cy="2505075"/>
                    </a:xfrm>
                    <a:prstGeom prst="rect"/>
                    <a:ln/>
                  </pic:spPr>
                </pic:pic>
              </a:graphicData>
            </a:graphic>
          </wp:anchor>
        </w:drawing>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In any event, I thought that was cool; so, I gave the cashier the amount of money I owed plus a little bit to help with the bill of the person behind me in line.  How long did that simple act of kindness resonate with people? Perhaps the car in front of me didn’t start the sequence. How did it end?</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Believe it or not, there actually is a Random Acts of Kindness </w:t>
      </w:r>
      <w:hyperlink r:id="rId13">
        <w:r w:rsidDel="00000000" w:rsidR="00000000" w:rsidRPr="00000000">
          <w:rPr>
            <w:rFonts w:ascii="Calibri" w:cs="Calibri" w:eastAsia="Calibri" w:hAnsi="Calibri"/>
            <w:color w:val="467886"/>
            <w:u w:val="single"/>
            <w:rtl w:val="0"/>
          </w:rPr>
          <w:t xml:space="preserve">Foundation</w:t>
        </w:r>
      </w:hyperlink>
      <w:r w:rsidDel="00000000" w:rsidR="00000000" w:rsidRPr="00000000">
        <w:rPr>
          <w:rFonts w:ascii="Calibri" w:cs="Calibri" w:eastAsia="Calibri" w:hAnsi="Calibri"/>
          <w:rtl w:val="0"/>
        </w:rPr>
        <w:t xml:space="preserve">. They offer an array of kindness resources for their website guests.  Want a list of some joyfully kind things you can do, easily yet meaningfully? Here’s </w:t>
      </w:r>
      <w:hyperlink r:id="rId14">
        <w:r w:rsidDel="00000000" w:rsidR="00000000" w:rsidRPr="00000000">
          <w:rPr>
            <w:rFonts w:ascii="Calibri" w:cs="Calibri" w:eastAsia="Calibri" w:hAnsi="Calibri"/>
            <w:color w:val="467886"/>
            <w:u w:val="single"/>
            <w:rtl w:val="0"/>
          </w:rPr>
          <w:t xml:space="preserve">one</w:t>
        </w:r>
      </w:hyperlink>
      <w:r w:rsidDel="00000000" w:rsidR="00000000" w:rsidRPr="00000000">
        <w:rPr>
          <w:rFonts w:ascii="Calibri" w:cs="Calibri" w:eastAsia="Calibri" w:hAnsi="Calibri"/>
          <w:rtl w:val="0"/>
        </w:rPr>
        <w:t xml:space="preserve">. I really like – </w:t>
      </w:r>
      <w:r w:rsidDel="00000000" w:rsidR="00000000" w:rsidRPr="00000000">
        <w:rPr>
          <w:rFonts w:ascii="Calibri" w:cs="Calibri" w:eastAsia="Calibri" w:hAnsi="Calibri"/>
          <w:i w:val="1"/>
          <w:iCs w:val="1"/>
          <w:rtl w:val="0"/>
        </w:rPr>
        <w:t xml:space="preserve">“Find opportunities to give compliments. It costs nothing, takes no time, and could make someone’s entire day. Don’t just think it. Say it.” </w:t>
      </w:r>
      <w:r w:rsidDel="00000000" w:rsidR="00000000" w:rsidRPr="00000000">
        <w:rPr>
          <w:rFonts w:ascii="Calibri" w:cs="Calibri" w:eastAsia="Calibri" w:hAnsi="Calibri"/>
          <w:rtl w:val="0"/>
        </w:rPr>
        <w:t xml:space="preserve">I’d add give them a “Kind Bar” if you wanna bump it up a notch. The </w:t>
      </w:r>
      <w:hyperlink r:id="rId15">
        <w:r w:rsidDel="00000000" w:rsidR="00000000" w:rsidRPr="00000000">
          <w:rPr>
            <w:rFonts w:ascii="Calibri" w:cs="Calibri" w:eastAsia="Calibri" w:hAnsi="Calibri"/>
            <w:color w:val="467886"/>
            <w:u w:val="single"/>
            <w:rtl w:val="0"/>
          </w:rPr>
          <w:t xml:space="preserve">Be-Kind</w:t>
        </w:r>
      </w:hyperlink>
      <w:r w:rsidDel="00000000" w:rsidR="00000000" w:rsidRPr="00000000">
        <w:rPr>
          <w:rFonts w:ascii="Calibri" w:cs="Calibri" w:eastAsia="Calibri" w:hAnsi="Calibri"/>
          <w:rtl w:val="0"/>
        </w:rPr>
        <w:t xml:space="preserve"> company cleverly markets their mission as:</w:t>
      </w:r>
    </w:p>
    <w:p w:rsidR="00000000" w:rsidDel="00000000" w:rsidP="00000000" w:rsidRDefault="00000000" w:rsidRPr="00000000" w14:paraId="0000000D">
      <w:pPr>
        <w:ind w:left="720" w:right="720" w:firstLine="0"/>
        <w:rPr>
          <w:rFonts w:ascii="Calibri" w:cs="Calibri" w:eastAsia="Calibri" w:hAnsi="Calibri"/>
        </w:rPr>
      </w:pPr>
      <w:r w:rsidDel="00000000" w:rsidR="00000000" w:rsidRPr="00000000">
        <w:rPr>
          <w:rFonts w:ascii="Calibri" w:cs="Calibri" w:eastAsia="Calibri" w:hAnsi="Calibri"/>
          <w:rtl w:val="0"/>
        </w:rPr>
        <w:t xml:space="preserve">“It’s a state of mind. And a community. And a movement. And it’s all born of our mission: to make the world a little kinder, one snack and one act at a time. Because we believe when we all act with kindness - when we help someone out, when we make a positive choice - we all have the power to change the world.”</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 recently created a “</w:t>
      </w:r>
      <w:hyperlink r:id="rId16">
        <w:r w:rsidDel="00000000" w:rsidR="00000000" w:rsidRPr="00000000">
          <w:rPr>
            <w:rFonts w:ascii="Calibri" w:cs="Calibri" w:eastAsia="Calibri" w:hAnsi="Calibri"/>
            <w:color w:val="467886"/>
            <w:u w:val="single"/>
            <w:rtl w:val="0"/>
          </w:rPr>
          <w:t xml:space="preserve">Welcome Video</w:t>
        </w:r>
      </w:hyperlink>
      <w:r w:rsidDel="00000000" w:rsidR="00000000" w:rsidRPr="00000000">
        <w:rPr>
          <w:rFonts w:ascii="Calibri" w:cs="Calibri" w:eastAsia="Calibri" w:hAnsi="Calibri"/>
          <w:rtl w:val="0"/>
        </w:rPr>
        <w:t xml:space="preserve">” for our webpage. One of the things that I say about this awesome parish is that we “practice what we preach.”  Some of the things we do are more magnanimous than other things.  Some are simple yet potentially recreate a person’s, family’s, community’s lives – even if just for a short period of time.</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Jesus’ prophetic and righteous words continue to bear fruit and offer water to hungry and thirsty people.  May we keep feeding the hungry and quenching the thirsty as Christ has done and does for us.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Blessings along The Way, Jim+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ep.org/get-involved" TargetMode="External"/><Relationship Id="rId10" Type="http://schemas.openxmlformats.org/officeDocument/2006/relationships/hyperlink" Target="https://www.blueletterbible.org/lexicon/g1342/niv/mgnt/0-1/" TargetMode="External"/><Relationship Id="rId13" Type="http://schemas.openxmlformats.org/officeDocument/2006/relationships/hyperlink" Target="https://www.randomactsofkindness.org/" TargetMode="External"/><Relationship Id="rId12" Type="http://schemas.openxmlformats.org/officeDocument/2006/relationships/image" Target="media/image2.png"/><Relationship Id="rId1" Type="http://schemas.openxmlformats.org/officeDocument/2006/relationships/hyperlink" Target="https://unsplash.com/@lgnwvr?utm_source=unsplash&amp;utm_medium=referral&amp;utm_content=creditCopyText" TargetMode="External"/><Relationship Id="rId2" Type="http://schemas.openxmlformats.org/officeDocument/2006/relationships/hyperlink" Target="https://unsplash.com/photos/a-close-up-of-hands-shaking-aG37cbl9fXk?utm_source=unsplash&amp;utm_medium=referral&amp;utm_content=creditCopyText"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5" Type="http://schemas.openxmlformats.org/officeDocument/2006/relationships/hyperlink" Target="https://www.bekindsnacks.com/mission" TargetMode="External"/><Relationship Id="rId14" Type="http://schemas.openxmlformats.org/officeDocument/2006/relationships/hyperlink" Target="https://www.randomactsofkindness.org/the-kindness-blog/2917-50-ways-to-pay-it-forward" TargetMode="External"/><Relationship Id="rId16" Type="http://schemas.openxmlformats.org/officeDocument/2006/relationships/hyperlink" Target="https://www.youtube.com/watch?v=ouhdYBo8_fU"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